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997" w:rsidRPr="004B0997" w:rsidRDefault="004B0997" w:rsidP="004B0997">
      <w:pPr>
        <w:jc w:val="both"/>
        <w:rPr>
          <w:bCs/>
        </w:rPr>
      </w:pPr>
      <w:bookmarkStart w:id="0" w:name="_GoBack"/>
      <w:bookmarkEnd w:id="0"/>
      <w:r w:rsidRPr="004B0997">
        <w:rPr>
          <w:bCs/>
        </w:rPr>
        <w:t xml:space="preserve">На основание чл. 26, ал. 4 от Закона за нормативните актове, в 30-дневен срок от публикуване на настоящото обявление на интернет страницата на общината, Община Бяла Слатина приема предложения и становища относно Проекта на Наредба за изменение на Наредба № 24 за преместваемите обекти и рекламната и информационна дейност на територията на община Бяла Слатина на </w:t>
      </w:r>
      <w:proofErr w:type="spellStart"/>
      <w:r w:rsidRPr="004B0997">
        <w:rPr>
          <w:bCs/>
        </w:rPr>
        <w:t>email</w:t>
      </w:r>
      <w:proofErr w:type="spellEnd"/>
      <w:r w:rsidRPr="004B0997">
        <w:rPr>
          <w:bCs/>
        </w:rPr>
        <w:t>: bslatina@oabsl.bg или в деловодството на Община Бяла Слатина на адрес: гр. Бяла Слатина, ул. "Климент Охридски" 68</w:t>
      </w:r>
    </w:p>
    <w:p w:rsidR="00147533" w:rsidRDefault="00494C70" w:rsidP="00494C70">
      <w:pPr>
        <w:rPr>
          <w:b/>
          <w:bCs/>
        </w:rPr>
      </w:pPr>
      <w:r>
        <w:rPr>
          <w:b/>
          <w:bCs/>
        </w:rPr>
        <w:t>Предложения за</w:t>
      </w:r>
      <w:r w:rsidR="00F37BA4">
        <w:rPr>
          <w:b/>
          <w:bCs/>
        </w:rPr>
        <w:t xml:space="preserve"> изменения на Н</w:t>
      </w:r>
      <w:r w:rsidRPr="00DF137E">
        <w:rPr>
          <w:b/>
          <w:bCs/>
        </w:rPr>
        <w:t>аредба</w:t>
      </w:r>
      <w:r>
        <w:rPr>
          <w:b/>
          <w:bCs/>
        </w:rPr>
        <w:t xml:space="preserve"> № 24 </w:t>
      </w:r>
      <w:r w:rsidRPr="00494C70">
        <w:rPr>
          <w:b/>
          <w:bCs/>
        </w:rPr>
        <w:t>за преместваемите обекти и рекламната и информационна дейност на територията</w:t>
      </w:r>
      <w:r>
        <w:rPr>
          <w:b/>
          <w:bCs/>
        </w:rPr>
        <w:t xml:space="preserve"> </w:t>
      </w:r>
      <w:r w:rsidRPr="00494C70">
        <w:rPr>
          <w:b/>
          <w:bCs/>
        </w:rPr>
        <w:t xml:space="preserve">на община </w:t>
      </w:r>
      <w:r>
        <w:rPr>
          <w:b/>
          <w:bCs/>
        </w:rPr>
        <w:t>Бяла С</w:t>
      </w:r>
      <w:r w:rsidRPr="00494C70">
        <w:rPr>
          <w:b/>
          <w:bCs/>
        </w:rPr>
        <w:t>латина</w:t>
      </w:r>
    </w:p>
    <w:p w:rsidR="00494C70" w:rsidRDefault="00703842" w:rsidP="00494C70">
      <w:pPr>
        <w:jc w:val="both"/>
        <w:rPr>
          <w:b/>
          <w:bCs/>
        </w:rPr>
      </w:pPr>
      <w:r>
        <w:rPr>
          <w:b/>
          <w:bCs/>
        </w:rPr>
        <w:object w:dxaOrig="1540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Acrobat.Document.DC" ShapeID="_x0000_i1025" DrawAspect="Icon" ObjectID="_1759906656" r:id="rId6"/>
        </w:object>
      </w:r>
    </w:p>
    <w:p w:rsidR="00494C70" w:rsidRDefault="00494C70" w:rsidP="00494C70">
      <w:pPr>
        <w:jc w:val="both"/>
      </w:pPr>
      <w:r>
        <w:rPr>
          <w:b/>
          <w:bCs/>
        </w:rPr>
        <w:t xml:space="preserve">Мотиви: </w:t>
      </w:r>
      <w:r>
        <w:t xml:space="preserve">С измененията в Закона за енергетиката (ЗЕ), направени с Държавен вестник бр. № 11/02.02.2023 г., бе въведена дефиниция за съоръженията за съхранение на електрическа енергия, която изрично предвижда, че те представляват </w:t>
      </w:r>
      <w:proofErr w:type="spellStart"/>
      <w:r>
        <w:t>преместваем</w:t>
      </w:r>
      <w:proofErr w:type="spellEnd"/>
      <w:r>
        <w:t xml:space="preserve"> обект по смисъла на Закона за устройство на територията (ЗУТ). </w:t>
      </w:r>
    </w:p>
    <w:p w:rsidR="00494C70" w:rsidRDefault="00494C70" w:rsidP="00494C70">
      <w:pPr>
        <w:jc w:val="both"/>
      </w:pPr>
      <w:r>
        <w:t>Дефиницията е дадена в</w:t>
      </w:r>
      <w:r>
        <w:rPr>
          <w:lang w:val="en-US"/>
        </w:rPr>
        <w:t xml:space="preserve"> </w:t>
      </w:r>
      <w:r>
        <w:t xml:space="preserve">§ 1, т. 61в. от Допълнителните разпоредби на ЗЕ </w:t>
      </w:r>
      <w:r w:rsidRPr="0010344D">
        <w:t>„Съоръжение за съхранение на електрическа енергия" е съоръжение в рамките на електроенергийната система, в което се съхранява енергия, с изключение на съоръженията за съхранение на енергия за собствено потребление на производители или крайни клиенти, което не отдава съхранената електрическа енергия в електропреносната или електроразпределителна мрежа. Електрохимическите съоръжения за съхранение на електрическа енергия представляват преместваеми обекти по смисъла на Закона за устройство на територията.</w:t>
      </w:r>
    </w:p>
    <w:p w:rsidR="00494C70" w:rsidRDefault="00494C70" w:rsidP="00494C70">
      <w:pPr>
        <w:jc w:val="both"/>
      </w:pPr>
      <w:r>
        <w:t xml:space="preserve">С оглед яснота и прецизност на наредбата следва да се уточни изрично, че тя се прилага и за съоръженията за съхранение на електрическа енергия. </w:t>
      </w:r>
    </w:p>
    <w:p w:rsidR="0028188F" w:rsidRPr="0028188F" w:rsidRDefault="00494C70" w:rsidP="0028188F">
      <w:pPr>
        <w:jc w:val="both"/>
      </w:pPr>
      <w:r>
        <w:t xml:space="preserve">Трябва да се отчетат и особеностите на съоръженията за съхранение на електрическа енергия и техническите изисквания за тяхното поставяне и експлоатация. </w:t>
      </w:r>
    </w:p>
    <w:p w:rsidR="0028188F" w:rsidRPr="0010344D" w:rsidRDefault="0028188F" w:rsidP="0028188F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Изменение в чл. 2, ал. 1, т. 1 от Наредбата</w:t>
      </w:r>
    </w:p>
    <w:p w:rsidR="0028188F" w:rsidRDefault="0028188F" w:rsidP="0028188F">
      <w:pPr>
        <w:jc w:val="both"/>
        <w:rPr>
          <w:b/>
          <w:bCs/>
        </w:rPr>
      </w:pPr>
      <w:r>
        <w:rPr>
          <w:b/>
          <w:bCs/>
        </w:rPr>
        <w:t>Действаща разпоредба:</w:t>
      </w:r>
    </w:p>
    <w:p w:rsidR="0028188F" w:rsidRDefault="0028188F" w:rsidP="0028188F">
      <w:pPr>
        <w:jc w:val="both"/>
        <w:rPr>
          <w:bCs/>
        </w:rPr>
      </w:pPr>
      <w:r w:rsidRPr="0028188F">
        <w:rPr>
          <w:bCs/>
        </w:rPr>
        <w:t>Чл. 2. (1) Според срока, за който се издава разрешение за поставяне, премес</w:t>
      </w:r>
      <w:r>
        <w:rPr>
          <w:bCs/>
        </w:rPr>
        <w:t>тваемите обекти могат да бъдат:</w:t>
      </w:r>
    </w:p>
    <w:p w:rsidR="0028188F" w:rsidRPr="0028188F" w:rsidRDefault="0028188F" w:rsidP="0028188F">
      <w:pPr>
        <w:pStyle w:val="a3"/>
        <w:numPr>
          <w:ilvl w:val="0"/>
          <w:numId w:val="10"/>
        </w:numPr>
        <w:jc w:val="both"/>
        <w:rPr>
          <w:bCs/>
        </w:rPr>
      </w:pPr>
      <w:r w:rsidRPr="0028188F">
        <w:rPr>
          <w:bCs/>
        </w:rPr>
        <w:t>Годишни / за срок до възникване на инвестиционна инициатива за реализиране предвижданията на подробния устройствен план, но не повече от 3 години</w:t>
      </w:r>
      <w:r w:rsidRPr="0028188F">
        <w:rPr>
          <w:color w:val="FF0000"/>
        </w:rPr>
        <w:t xml:space="preserve"> </w:t>
      </w:r>
      <w:r w:rsidRPr="0028188F">
        <w:rPr>
          <w:bCs/>
        </w:rPr>
        <w:t>/- разположени по схема за поставяне, която се одобрява о</w:t>
      </w:r>
      <w:r>
        <w:rPr>
          <w:bCs/>
        </w:rPr>
        <w:t>т Главният архитект на общината.</w:t>
      </w:r>
    </w:p>
    <w:p w:rsidR="0028188F" w:rsidRPr="0028188F" w:rsidRDefault="0028188F" w:rsidP="0028188F">
      <w:pPr>
        <w:jc w:val="both"/>
        <w:rPr>
          <w:b/>
          <w:bCs/>
        </w:rPr>
      </w:pPr>
      <w:r w:rsidRPr="0028188F">
        <w:rPr>
          <w:b/>
          <w:bCs/>
        </w:rPr>
        <w:t xml:space="preserve">Предлагана промяна: </w:t>
      </w:r>
    </w:p>
    <w:p w:rsidR="0028188F" w:rsidRDefault="0028188F" w:rsidP="0028188F">
      <w:pPr>
        <w:jc w:val="both"/>
        <w:rPr>
          <w:bCs/>
        </w:rPr>
      </w:pPr>
      <w:r w:rsidRPr="0028188F">
        <w:rPr>
          <w:bCs/>
        </w:rPr>
        <w:t>Чл. 2. (1) Според срока, за който се издава разрешение за поставяне, премес</w:t>
      </w:r>
      <w:r>
        <w:rPr>
          <w:bCs/>
        </w:rPr>
        <w:t>тваемите обекти могат да бъдат:</w:t>
      </w:r>
    </w:p>
    <w:p w:rsidR="0028188F" w:rsidRDefault="0028188F" w:rsidP="0028188F">
      <w:pPr>
        <w:pStyle w:val="a3"/>
        <w:numPr>
          <w:ilvl w:val="0"/>
          <w:numId w:val="9"/>
        </w:numPr>
        <w:jc w:val="both"/>
        <w:rPr>
          <w:bCs/>
        </w:rPr>
      </w:pPr>
      <w:r w:rsidRPr="005B5990">
        <w:rPr>
          <w:color w:val="FF0000"/>
        </w:rPr>
        <w:t xml:space="preserve">(Доп., приета с Решение № [.]/[.] на ОС – </w:t>
      </w:r>
      <w:r>
        <w:rPr>
          <w:color w:val="FF0000"/>
        </w:rPr>
        <w:t>Бяла Слатина</w:t>
      </w:r>
      <w:r w:rsidRPr="005B5990">
        <w:rPr>
          <w:color w:val="FF0000"/>
        </w:rPr>
        <w:t xml:space="preserve">, </w:t>
      </w:r>
      <w:proofErr w:type="spellStart"/>
      <w:r w:rsidRPr="005B5990">
        <w:rPr>
          <w:color w:val="FF0000"/>
        </w:rPr>
        <w:t>вл</w:t>
      </w:r>
      <w:proofErr w:type="spellEnd"/>
      <w:r w:rsidRPr="005B5990">
        <w:rPr>
          <w:color w:val="FF0000"/>
        </w:rPr>
        <w:t>. в сила на [.]</w:t>
      </w:r>
      <w:r>
        <w:rPr>
          <w:color w:val="FF0000"/>
        </w:rPr>
        <w:t xml:space="preserve">) </w:t>
      </w:r>
      <w:r w:rsidRPr="0028188F">
        <w:rPr>
          <w:bCs/>
        </w:rPr>
        <w:t xml:space="preserve">Годишни / за срок до възникване на инвестиционна инициатива за реализиране предвижданията на подробния устройствен план, но не повече от 3 години/- разположени по схема за </w:t>
      </w:r>
      <w:r w:rsidRPr="0028188F">
        <w:rPr>
          <w:bCs/>
        </w:rPr>
        <w:lastRenderedPageBreak/>
        <w:t>поставяне, която се одобрява от Главният архитект на общината</w:t>
      </w:r>
      <w:r w:rsidRPr="0028188F">
        <w:t xml:space="preserve"> </w:t>
      </w:r>
      <w:r w:rsidRPr="0028188F">
        <w:rPr>
          <w:bCs/>
          <w:color w:val="FF0000"/>
        </w:rPr>
        <w:t>а за системи/съоръжения за съхранение на електрическа енергия не може да бъде за срок, по-дълъг от 20 години, освен в случаите, когато разрешението за поставяне е върху земеделски земи, когато срокът не може да бъде по-дълъг от 10 години на основание чл. 59а ППЗОЗЗ.</w:t>
      </w:r>
    </w:p>
    <w:p w:rsidR="0028188F" w:rsidRDefault="0028188F" w:rsidP="0028188F">
      <w:pPr>
        <w:pStyle w:val="a3"/>
        <w:jc w:val="both"/>
        <w:rPr>
          <w:bCs/>
        </w:rPr>
      </w:pPr>
    </w:p>
    <w:p w:rsidR="00494C70" w:rsidRPr="0010344D" w:rsidRDefault="00494C70" w:rsidP="00494C70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Изменение в чл. 2, ал. 2 от Наредбата</w:t>
      </w:r>
    </w:p>
    <w:p w:rsidR="00494C70" w:rsidRDefault="00494C70" w:rsidP="00494C70">
      <w:pPr>
        <w:jc w:val="both"/>
        <w:rPr>
          <w:b/>
          <w:bCs/>
        </w:rPr>
      </w:pPr>
      <w:r>
        <w:rPr>
          <w:b/>
          <w:bCs/>
        </w:rPr>
        <w:t>Действаща разпоредба:</w:t>
      </w:r>
    </w:p>
    <w:p w:rsidR="00494C70" w:rsidRPr="00F558CE" w:rsidRDefault="00494C70" w:rsidP="00494C70">
      <w:pPr>
        <w:jc w:val="both"/>
        <w:rPr>
          <w:bCs/>
        </w:rPr>
      </w:pPr>
      <w:r w:rsidRPr="00F558CE">
        <w:rPr>
          <w:bCs/>
        </w:rPr>
        <w:t>Чл. 2. (2) По вид преместваемите обекти могат да бъдат:</w:t>
      </w:r>
    </w:p>
    <w:p w:rsidR="00494C70" w:rsidRPr="00494C70" w:rsidRDefault="00494C70" w:rsidP="00494C70">
      <w:pPr>
        <w:pStyle w:val="a3"/>
        <w:numPr>
          <w:ilvl w:val="0"/>
          <w:numId w:val="3"/>
        </w:numPr>
        <w:jc w:val="both"/>
        <w:rPr>
          <w:bCs/>
        </w:rPr>
      </w:pPr>
      <w:r w:rsidRPr="00494C70">
        <w:rPr>
          <w:bCs/>
        </w:rPr>
        <w:t>Павилиони, с площ до 30 кв. м. и височина до 3,50м.;</w:t>
      </w:r>
    </w:p>
    <w:p w:rsidR="00494C70" w:rsidRPr="00494C70" w:rsidRDefault="00494C70" w:rsidP="00494C70">
      <w:pPr>
        <w:pStyle w:val="a3"/>
        <w:numPr>
          <w:ilvl w:val="0"/>
          <w:numId w:val="3"/>
        </w:numPr>
        <w:jc w:val="both"/>
        <w:rPr>
          <w:bCs/>
        </w:rPr>
      </w:pPr>
      <w:r w:rsidRPr="00494C70">
        <w:rPr>
          <w:bCs/>
        </w:rPr>
        <w:t>Маси - до 6 кв. м. със сенник, чадър или тента, не по-ниски от 2,50 м. от нивото на терена;</w:t>
      </w:r>
    </w:p>
    <w:p w:rsidR="00494C70" w:rsidRPr="00494C70" w:rsidRDefault="00494C70" w:rsidP="00494C70">
      <w:pPr>
        <w:pStyle w:val="a3"/>
        <w:numPr>
          <w:ilvl w:val="0"/>
          <w:numId w:val="3"/>
        </w:numPr>
        <w:jc w:val="both"/>
        <w:rPr>
          <w:bCs/>
        </w:rPr>
      </w:pPr>
      <w:r w:rsidRPr="00494C70">
        <w:rPr>
          <w:bCs/>
        </w:rPr>
        <w:t>Автомати за топли напитки, безалкохолни напитки, бира, пакетирани закуски и др.</w:t>
      </w:r>
    </w:p>
    <w:p w:rsidR="00494C70" w:rsidRPr="00494C70" w:rsidRDefault="00494C70" w:rsidP="00494C70">
      <w:pPr>
        <w:pStyle w:val="a3"/>
        <w:numPr>
          <w:ilvl w:val="0"/>
          <w:numId w:val="3"/>
        </w:numPr>
        <w:jc w:val="both"/>
        <w:rPr>
          <w:bCs/>
        </w:rPr>
      </w:pPr>
      <w:r w:rsidRPr="00494C70">
        <w:rPr>
          <w:bCs/>
        </w:rPr>
        <w:t>Подиуми;</w:t>
      </w:r>
    </w:p>
    <w:p w:rsidR="00494C70" w:rsidRPr="00494C70" w:rsidRDefault="00494C70" w:rsidP="00494C70">
      <w:pPr>
        <w:pStyle w:val="a3"/>
        <w:numPr>
          <w:ilvl w:val="0"/>
          <w:numId w:val="3"/>
        </w:numPr>
        <w:jc w:val="both"/>
        <w:rPr>
          <w:bCs/>
        </w:rPr>
      </w:pPr>
      <w:r w:rsidRPr="00494C70">
        <w:rPr>
          <w:bCs/>
        </w:rPr>
        <w:t>Навеси, не по-ниски от 3.20 м. от нивото на терена</w:t>
      </w:r>
    </w:p>
    <w:p w:rsidR="00494C70" w:rsidRPr="00494C70" w:rsidRDefault="00494C70" w:rsidP="00494C70">
      <w:pPr>
        <w:pStyle w:val="a3"/>
        <w:numPr>
          <w:ilvl w:val="0"/>
          <w:numId w:val="3"/>
        </w:numPr>
        <w:jc w:val="both"/>
        <w:rPr>
          <w:bCs/>
        </w:rPr>
      </w:pPr>
      <w:r w:rsidRPr="00494C70">
        <w:rPr>
          <w:bCs/>
        </w:rPr>
        <w:t xml:space="preserve">Елементи на градското обзавеждане - спирки на градския транспорт, пейки, други трайно поставени елементи на обществената инфраструктура, детски </w:t>
      </w:r>
      <w:proofErr w:type="spellStart"/>
      <w:r w:rsidRPr="00494C70">
        <w:rPr>
          <w:bCs/>
        </w:rPr>
        <w:t>атракционни</w:t>
      </w:r>
      <w:proofErr w:type="spellEnd"/>
      <w:r w:rsidRPr="00494C70">
        <w:rPr>
          <w:bCs/>
        </w:rPr>
        <w:t xml:space="preserve"> съоръжения и други;</w:t>
      </w:r>
    </w:p>
    <w:p w:rsidR="00494C70" w:rsidRPr="00494C70" w:rsidRDefault="00494C70" w:rsidP="00494C70">
      <w:pPr>
        <w:pStyle w:val="a3"/>
        <w:numPr>
          <w:ilvl w:val="0"/>
          <w:numId w:val="3"/>
        </w:numPr>
        <w:jc w:val="both"/>
        <w:rPr>
          <w:bCs/>
        </w:rPr>
      </w:pPr>
      <w:r w:rsidRPr="00494C70">
        <w:rPr>
          <w:bCs/>
        </w:rPr>
        <w:t>Гаражни клетки с площ до 24 кв. метра;</w:t>
      </w:r>
    </w:p>
    <w:p w:rsidR="00494C70" w:rsidRPr="00494C70" w:rsidRDefault="00494C70" w:rsidP="00494C70">
      <w:pPr>
        <w:pStyle w:val="a3"/>
        <w:numPr>
          <w:ilvl w:val="0"/>
          <w:numId w:val="3"/>
        </w:numPr>
        <w:jc w:val="both"/>
        <w:rPr>
          <w:bCs/>
        </w:rPr>
      </w:pPr>
      <w:r w:rsidRPr="00494C70">
        <w:rPr>
          <w:bCs/>
        </w:rPr>
        <w:t>Други обекти, по смисъла на чл. 56, ал. 1 от ЗУТ, с площ не по- голяма от 30 кв. метра.</w:t>
      </w:r>
    </w:p>
    <w:p w:rsidR="00494C70" w:rsidRDefault="00494C70" w:rsidP="00494C70">
      <w:pPr>
        <w:jc w:val="both"/>
        <w:rPr>
          <w:b/>
          <w:bCs/>
        </w:rPr>
      </w:pPr>
      <w:r>
        <w:rPr>
          <w:b/>
          <w:bCs/>
        </w:rPr>
        <w:t xml:space="preserve">Предлагана промяна: </w:t>
      </w:r>
    </w:p>
    <w:p w:rsidR="00494C70" w:rsidRPr="00F558CE" w:rsidRDefault="00494C70" w:rsidP="00494C70">
      <w:pPr>
        <w:jc w:val="both"/>
        <w:rPr>
          <w:bCs/>
        </w:rPr>
      </w:pPr>
      <w:r w:rsidRPr="00F558CE">
        <w:rPr>
          <w:bCs/>
        </w:rPr>
        <w:t xml:space="preserve">Чл. 2. (2) </w:t>
      </w:r>
      <w:r w:rsidRPr="005B5990">
        <w:rPr>
          <w:color w:val="FF0000"/>
        </w:rPr>
        <w:t xml:space="preserve">(Доп., приета с Решение № [.]/[.] на ОС – </w:t>
      </w:r>
      <w:r w:rsidR="001E4FAF">
        <w:rPr>
          <w:color w:val="FF0000"/>
        </w:rPr>
        <w:t>Бяла Слатина</w:t>
      </w:r>
      <w:r w:rsidRPr="005B5990">
        <w:rPr>
          <w:color w:val="FF0000"/>
        </w:rPr>
        <w:t xml:space="preserve">, </w:t>
      </w:r>
      <w:proofErr w:type="spellStart"/>
      <w:r w:rsidRPr="005B5990">
        <w:rPr>
          <w:color w:val="FF0000"/>
        </w:rPr>
        <w:t>вл</w:t>
      </w:r>
      <w:proofErr w:type="spellEnd"/>
      <w:r w:rsidRPr="005B5990">
        <w:rPr>
          <w:color w:val="FF0000"/>
        </w:rPr>
        <w:t>. в сила на [.]</w:t>
      </w:r>
      <w:r>
        <w:rPr>
          <w:color w:val="FF0000"/>
        </w:rPr>
        <w:t xml:space="preserve">) </w:t>
      </w:r>
      <w:r w:rsidRPr="00F558CE">
        <w:rPr>
          <w:bCs/>
        </w:rPr>
        <w:t>По вид преместваемите обекти могат да бъдат:</w:t>
      </w:r>
    </w:p>
    <w:p w:rsidR="00494C70" w:rsidRPr="00494C70" w:rsidRDefault="00494C70" w:rsidP="00494C70">
      <w:pPr>
        <w:pStyle w:val="a3"/>
        <w:numPr>
          <w:ilvl w:val="0"/>
          <w:numId w:val="5"/>
        </w:numPr>
        <w:jc w:val="both"/>
        <w:rPr>
          <w:bCs/>
        </w:rPr>
      </w:pPr>
      <w:r w:rsidRPr="00494C70">
        <w:rPr>
          <w:bCs/>
        </w:rPr>
        <w:t>Павилиони, с площ до 30 кв. м. и височина до 3,50м.;</w:t>
      </w:r>
    </w:p>
    <w:p w:rsidR="00494C70" w:rsidRPr="00494C70" w:rsidRDefault="00494C70" w:rsidP="00494C70">
      <w:pPr>
        <w:pStyle w:val="a3"/>
        <w:numPr>
          <w:ilvl w:val="0"/>
          <w:numId w:val="5"/>
        </w:numPr>
        <w:jc w:val="both"/>
        <w:rPr>
          <w:bCs/>
        </w:rPr>
      </w:pPr>
      <w:r w:rsidRPr="00494C70">
        <w:rPr>
          <w:bCs/>
        </w:rPr>
        <w:t>Маси - до 6 кв. м. със сенник, чадър или тента, не по-ниски от 2,50 м. от нивото на терена;</w:t>
      </w:r>
    </w:p>
    <w:p w:rsidR="00494C70" w:rsidRPr="00494C70" w:rsidRDefault="00494C70" w:rsidP="00494C70">
      <w:pPr>
        <w:pStyle w:val="a3"/>
        <w:numPr>
          <w:ilvl w:val="0"/>
          <w:numId w:val="5"/>
        </w:numPr>
        <w:jc w:val="both"/>
        <w:rPr>
          <w:bCs/>
        </w:rPr>
      </w:pPr>
      <w:r w:rsidRPr="00494C70">
        <w:rPr>
          <w:bCs/>
        </w:rPr>
        <w:t>Автомати за топли напитки, безалкохолни напитки, бира, пакетирани закуски и др.</w:t>
      </w:r>
    </w:p>
    <w:p w:rsidR="00494C70" w:rsidRPr="00494C70" w:rsidRDefault="00494C70" w:rsidP="00494C70">
      <w:pPr>
        <w:pStyle w:val="a3"/>
        <w:numPr>
          <w:ilvl w:val="0"/>
          <w:numId w:val="5"/>
        </w:numPr>
        <w:jc w:val="both"/>
        <w:rPr>
          <w:bCs/>
        </w:rPr>
      </w:pPr>
      <w:r w:rsidRPr="00494C70">
        <w:rPr>
          <w:bCs/>
        </w:rPr>
        <w:t>Подиуми;</w:t>
      </w:r>
    </w:p>
    <w:p w:rsidR="00494C70" w:rsidRPr="00494C70" w:rsidRDefault="00494C70" w:rsidP="00494C70">
      <w:pPr>
        <w:pStyle w:val="a3"/>
        <w:numPr>
          <w:ilvl w:val="0"/>
          <w:numId w:val="5"/>
        </w:numPr>
        <w:jc w:val="both"/>
        <w:rPr>
          <w:bCs/>
        </w:rPr>
      </w:pPr>
      <w:r w:rsidRPr="00494C70">
        <w:rPr>
          <w:bCs/>
        </w:rPr>
        <w:t>Навеси, не по-ниски от 3.20 м. от нивото на терена</w:t>
      </w:r>
    </w:p>
    <w:p w:rsidR="00494C70" w:rsidRPr="00494C70" w:rsidRDefault="00494C70" w:rsidP="00494C70">
      <w:pPr>
        <w:pStyle w:val="a3"/>
        <w:numPr>
          <w:ilvl w:val="0"/>
          <w:numId w:val="5"/>
        </w:numPr>
        <w:jc w:val="both"/>
        <w:rPr>
          <w:bCs/>
          <w:color w:val="FF0000"/>
        </w:rPr>
      </w:pPr>
      <w:r w:rsidRPr="00494C70">
        <w:rPr>
          <w:color w:val="FF0000"/>
        </w:rPr>
        <w:t>Съоръжени</w:t>
      </w:r>
      <w:r>
        <w:rPr>
          <w:color w:val="FF0000"/>
        </w:rPr>
        <w:t>я</w:t>
      </w:r>
      <w:r w:rsidRPr="00494C70">
        <w:rPr>
          <w:color w:val="FF0000"/>
        </w:rPr>
        <w:t xml:space="preserve"> за съхранение на електрическа енергия</w:t>
      </w:r>
    </w:p>
    <w:p w:rsidR="00494C70" w:rsidRPr="00494C70" w:rsidRDefault="00494C70" w:rsidP="00D443EC">
      <w:pPr>
        <w:pStyle w:val="a3"/>
        <w:numPr>
          <w:ilvl w:val="0"/>
          <w:numId w:val="5"/>
        </w:numPr>
        <w:jc w:val="both"/>
        <w:rPr>
          <w:bCs/>
        </w:rPr>
      </w:pPr>
      <w:r w:rsidRPr="00494C70">
        <w:rPr>
          <w:color w:val="FF0000"/>
        </w:rPr>
        <w:t xml:space="preserve">(Предишна т. 6) </w:t>
      </w:r>
      <w:r w:rsidRPr="00494C70">
        <w:rPr>
          <w:bCs/>
        </w:rPr>
        <w:t>Елементи на градското обзавеждане - спирки на градския транспорт, пейки,</w:t>
      </w:r>
      <w:r w:rsidR="00D443EC">
        <w:rPr>
          <w:bCs/>
        </w:rPr>
        <w:t xml:space="preserve"> </w:t>
      </w:r>
      <w:r w:rsidR="00D443EC" w:rsidRPr="00D443EC">
        <w:rPr>
          <w:bCs/>
          <w:color w:val="FF0000"/>
        </w:rPr>
        <w:t>зарядни колонки за електрически превозни средства,</w:t>
      </w:r>
      <w:r w:rsidRPr="00D443EC">
        <w:rPr>
          <w:bCs/>
          <w:color w:val="FF0000"/>
        </w:rPr>
        <w:t xml:space="preserve"> </w:t>
      </w:r>
      <w:r w:rsidRPr="00494C70">
        <w:rPr>
          <w:bCs/>
        </w:rPr>
        <w:t xml:space="preserve">други трайно поставени елементи на обществената инфраструктура, детски </w:t>
      </w:r>
      <w:proofErr w:type="spellStart"/>
      <w:r w:rsidRPr="00494C70">
        <w:rPr>
          <w:bCs/>
        </w:rPr>
        <w:t>атракционни</w:t>
      </w:r>
      <w:proofErr w:type="spellEnd"/>
      <w:r w:rsidRPr="00494C70">
        <w:rPr>
          <w:bCs/>
        </w:rPr>
        <w:t xml:space="preserve"> съоръжения и други;</w:t>
      </w:r>
    </w:p>
    <w:p w:rsidR="00494C70" w:rsidRPr="00494C70" w:rsidRDefault="00494C70" w:rsidP="00494C70">
      <w:pPr>
        <w:pStyle w:val="a3"/>
        <w:numPr>
          <w:ilvl w:val="0"/>
          <w:numId w:val="5"/>
        </w:numPr>
        <w:jc w:val="both"/>
        <w:rPr>
          <w:bCs/>
        </w:rPr>
      </w:pPr>
      <w:r w:rsidRPr="00494C70">
        <w:rPr>
          <w:color w:val="FF0000"/>
        </w:rPr>
        <w:t xml:space="preserve">(Предишна т. 7) </w:t>
      </w:r>
      <w:r w:rsidRPr="00494C70">
        <w:rPr>
          <w:bCs/>
        </w:rPr>
        <w:t>Гаражни клетки с площ до 24 кв. метра;</w:t>
      </w:r>
    </w:p>
    <w:p w:rsidR="00494C70" w:rsidRDefault="00494C70" w:rsidP="00494C70">
      <w:pPr>
        <w:pStyle w:val="a3"/>
        <w:numPr>
          <w:ilvl w:val="0"/>
          <w:numId w:val="5"/>
        </w:numPr>
        <w:jc w:val="both"/>
        <w:rPr>
          <w:bCs/>
        </w:rPr>
      </w:pPr>
      <w:r w:rsidRPr="00494C70">
        <w:rPr>
          <w:color w:val="FF0000"/>
        </w:rPr>
        <w:t xml:space="preserve">(Предишна т. 8) </w:t>
      </w:r>
      <w:r w:rsidRPr="00494C70">
        <w:rPr>
          <w:bCs/>
        </w:rPr>
        <w:t>Други обекти, по смисъла на чл. 56, ал. 1 от ЗУТ, с площ не по- голяма от 30 кв. метра.</w:t>
      </w:r>
    </w:p>
    <w:p w:rsidR="0028188F" w:rsidRDefault="0028188F" w:rsidP="0028188F">
      <w:pPr>
        <w:pStyle w:val="a3"/>
        <w:ind w:left="360"/>
        <w:jc w:val="both"/>
        <w:rPr>
          <w:b/>
          <w:bCs/>
        </w:rPr>
      </w:pPr>
    </w:p>
    <w:p w:rsidR="00494C70" w:rsidRPr="0028188F" w:rsidRDefault="00494C70" w:rsidP="00494C70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28188F">
        <w:rPr>
          <w:b/>
          <w:bCs/>
        </w:rPr>
        <w:t>Изменение в чл. 6, ал. 1 от Наредбата:</w:t>
      </w:r>
    </w:p>
    <w:p w:rsidR="00494C70" w:rsidRPr="00494C70" w:rsidRDefault="00494C70" w:rsidP="00494C70">
      <w:pPr>
        <w:jc w:val="both"/>
        <w:rPr>
          <w:bCs/>
        </w:rPr>
      </w:pPr>
      <w:r>
        <w:rPr>
          <w:b/>
          <w:bCs/>
        </w:rPr>
        <w:t>Действаща разпоредба:</w:t>
      </w:r>
    </w:p>
    <w:p w:rsidR="00494C70" w:rsidRPr="00494C70" w:rsidRDefault="00494C70" w:rsidP="00494C70">
      <w:pPr>
        <w:jc w:val="both"/>
        <w:rPr>
          <w:bCs/>
        </w:rPr>
      </w:pPr>
      <w:r w:rsidRPr="00494C70">
        <w:rPr>
          <w:bCs/>
        </w:rPr>
        <w:t>Чл. 6. (1) Разрешението за поставяне на преместваеми обекти се издава по образец, одобрен от Кмета на Общината, като в него задължително се посочват:</w:t>
      </w:r>
    </w:p>
    <w:p w:rsidR="00494C70" w:rsidRPr="00494C70" w:rsidRDefault="00494C70" w:rsidP="00494C70">
      <w:pPr>
        <w:pStyle w:val="a3"/>
        <w:numPr>
          <w:ilvl w:val="0"/>
          <w:numId w:val="6"/>
        </w:numPr>
        <w:jc w:val="both"/>
        <w:rPr>
          <w:bCs/>
        </w:rPr>
      </w:pPr>
      <w:r w:rsidRPr="00494C70">
        <w:rPr>
          <w:bCs/>
        </w:rPr>
        <w:t>Трите имена и постоянния адрес на физическите лица, съответно наименованието, единния идентификационен код, адреса на управление, правно-организационната форма и имената на представляващия на юридическите лица;</w:t>
      </w:r>
    </w:p>
    <w:p w:rsidR="00494C70" w:rsidRPr="00494C70" w:rsidRDefault="00494C70" w:rsidP="00494C70">
      <w:pPr>
        <w:pStyle w:val="a3"/>
        <w:numPr>
          <w:ilvl w:val="0"/>
          <w:numId w:val="6"/>
        </w:numPr>
        <w:jc w:val="both"/>
        <w:rPr>
          <w:bCs/>
        </w:rPr>
      </w:pPr>
      <w:r w:rsidRPr="00494C70">
        <w:rPr>
          <w:bCs/>
        </w:rPr>
        <w:t>Имота, в който се постави обекта и собственика на същия;</w:t>
      </w:r>
    </w:p>
    <w:p w:rsidR="00494C70" w:rsidRPr="00494C70" w:rsidRDefault="00494C70" w:rsidP="00494C70">
      <w:pPr>
        <w:pStyle w:val="a3"/>
        <w:numPr>
          <w:ilvl w:val="0"/>
          <w:numId w:val="6"/>
        </w:numPr>
        <w:jc w:val="both"/>
        <w:rPr>
          <w:bCs/>
        </w:rPr>
      </w:pPr>
      <w:r w:rsidRPr="00494C70">
        <w:rPr>
          <w:bCs/>
        </w:rPr>
        <w:lastRenderedPageBreak/>
        <w:t xml:space="preserve">Площта, която заема </w:t>
      </w:r>
      <w:proofErr w:type="spellStart"/>
      <w:r w:rsidRPr="00494C70">
        <w:rPr>
          <w:bCs/>
        </w:rPr>
        <w:t>преместваемият</w:t>
      </w:r>
      <w:proofErr w:type="spellEnd"/>
      <w:r w:rsidRPr="00494C70">
        <w:rPr>
          <w:bCs/>
        </w:rPr>
        <w:t xml:space="preserve"> обект;</w:t>
      </w:r>
    </w:p>
    <w:p w:rsidR="00494C70" w:rsidRPr="00494C70" w:rsidRDefault="00494C70" w:rsidP="00494C70">
      <w:pPr>
        <w:pStyle w:val="a3"/>
        <w:numPr>
          <w:ilvl w:val="0"/>
          <w:numId w:val="6"/>
        </w:numPr>
        <w:jc w:val="both"/>
        <w:rPr>
          <w:bCs/>
        </w:rPr>
      </w:pPr>
      <w:r w:rsidRPr="00494C70">
        <w:rPr>
          <w:bCs/>
        </w:rPr>
        <w:t xml:space="preserve">Дължимата такса, определена съгласно Наредба № 5 на Общинския съвет </w:t>
      </w:r>
      <w:proofErr w:type="spellStart"/>
      <w:r w:rsidRPr="00494C70">
        <w:rPr>
          <w:bCs/>
        </w:rPr>
        <w:t>гр.Бяла</w:t>
      </w:r>
      <w:proofErr w:type="spellEnd"/>
      <w:r w:rsidRPr="00494C70">
        <w:rPr>
          <w:bCs/>
        </w:rPr>
        <w:t xml:space="preserve"> Слатина;</w:t>
      </w:r>
    </w:p>
    <w:p w:rsidR="00494C70" w:rsidRPr="00494C70" w:rsidRDefault="00494C70" w:rsidP="00494C70">
      <w:pPr>
        <w:pStyle w:val="a3"/>
        <w:numPr>
          <w:ilvl w:val="0"/>
          <w:numId w:val="6"/>
        </w:numPr>
        <w:jc w:val="both"/>
        <w:rPr>
          <w:bCs/>
        </w:rPr>
      </w:pPr>
      <w:r w:rsidRPr="00494C70">
        <w:rPr>
          <w:bCs/>
        </w:rPr>
        <w:t>Срокът, за който се разрешава поставянето;</w:t>
      </w:r>
    </w:p>
    <w:p w:rsidR="00494C70" w:rsidRPr="00494C70" w:rsidRDefault="00494C70" w:rsidP="00494C70">
      <w:pPr>
        <w:pStyle w:val="a3"/>
        <w:numPr>
          <w:ilvl w:val="0"/>
          <w:numId w:val="6"/>
        </w:numPr>
        <w:jc w:val="both"/>
        <w:rPr>
          <w:bCs/>
        </w:rPr>
      </w:pPr>
      <w:r w:rsidRPr="00494C70">
        <w:rPr>
          <w:bCs/>
        </w:rPr>
        <w:t>Условията за експлоатация, поддръжка и хигиената на прилежащите площи;</w:t>
      </w:r>
    </w:p>
    <w:p w:rsidR="00494C70" w:rsidRPr="00494C70" w:rsidRDefault="00494C70" w:rsidP="00494C70">
      <w:pPr>
        <w:pStyle w:val="a3"/>
        <w:numPr>
          <w:ilvl w:val="0"/>
          <w:numId w:val="6"/>
        </w:numPr>
        <w:jc w:val="both"/>
        <w:rPr>
          <w:bCs/>
        </w:rPr>
      </w:pPr>
      <w:r w:rsidRPr="00494C70">
        <w:rPr>
          <w:bCs/>
        </w:rPr>
        <w:t xml:space="preserve">Указания за типа и външния вид на </w:t>
      </w:r>
      <w:proofErr w:type="spellStart"/>
      <w:r w:rsidRPr="00494C70">
        <w:rPr>
          <w:bCs/>
        </w:rPr>
        <w:t>преместваемия</w:t>
      </w:r>
      <w:proofErr w:type="spellEnd"/>
      <w:r w:rsidRPr="00494C70">
        <w:rPr>
          <w:bCs/>
        </w:rPr>
        <w:t xml:space="preserve"> обект.</w:t>
      </w:r>
    </w:p>
    <w:p w:rsidR="00494C70" w:rsidRDefault="00494C70" w:rsidP="00494C70">
      <w:pPr>
        <w:pStyle w:val="a3"/>
        <w:numPr>
          <w:ilvl w:val="0"/>
          <w:numId w:val="6"/>
        </w:numPr>
        <w:jc w:val="both"/>
        <w:rPr>
          <w:bCs/>
        </w:rPr>
      </w:pPr>
      <w:r w:rsidRPr="00494C70">
        <w:rPr>
          <w:bCs/>
        </w:rPr>
        <w:t>Договор за наем на общински (държавни) имоти когато обекта се поставя в УПИ – общинска или държавна собственост.</w:t>
      </w:r>
    </w:p>
    <w:p w:rsidR="00011EA1" w:rsidRPr="00011EA1" w:rsidRDefault="00011EA1" w:rsidP="00011EA1">
      <w:pPr>
        <w:jc w:val="both"/>
        <w:rPr>
          <w:bCs/>
        </w:rPr>
      </w:pPr>
      <w:r w:rsidRPr="00011EA1">
        <w:rPr>
          <w:bCs/>
        </w:rPr>
        <w:t xml:space="preserve">(2) Разрешението за поставяне на </w:t>
      </w:r>
      <w:proofErr w:type="spellStart"/>
      <w:r w:rsidRPr="00011EA1">
        <w:rPr>
          <w:bCs/>
        </w:rPr>
        <w:t>преместваем</w:t>
      </w:r>
      <w:proofErr w:type="spellEnd"/>
      <w:r w:rsidRPr="00011EA1">
        <w:rPr>
          <w:bCs/>
        </w:rPr>
        <w:t xml:space="preserve"> обект се издава в 7-дневен срок, считано от датата на заплащане на:</w:t>
      </w:r>
    </w:p>
    <w:p w:rsidR="00011EA1" w:rsidRPr="00011EA1" w:rsidRDefault="00011EA1" w:rsidP="00011EA1">
      <w:pPr>
        <w:pStyle w:val="a3"/>
        <w:numPr>
          <w:ilvl w:val="0"/>
          <w:numId w:val="12"/>
        </w:numPr>
        <w:jc w:val="both"/>
        <w:rPr>
          <w:bCs/>
        </w:rPr>
      </w:pPr>
      <w:r w:rsidRPr="00011EA1">
        <w:rPr>
          <w:bCs/>
        </w:rPr>
        <w:t>Такса за издаване на разрешение;</w:t>
      </w:r>
    </w:p>
    <w:p w:rsidR="00011EA1" w:rsidRPr="00011EA1" w:rsidRDefault="00011EA1" w:rsidP="00011EA1">
      <w:pPr>
        <w:pStyle w:val="a3"/>
        <w:numPr>
          <w:ilvl w:val="0"/>
          <w:numId w:val="12"/>
        </w:numPr>
        <w:jc w:val="both"/>
        <w:rPr>
          <w:bCs/>
        </w:rPr>
      </w:pPr>
      <w:r w:rsidRPr="00011EA1">
        <w:rPr>
          <w:bCs/>
        </w:rPr>
        <w:t>Дължимата такса за първия месец от действието на разрешението за обекти по чл. 2, ал.2, т2, 3 и 4;</w:t>
      </w:r>
    </w:p>
    <w:p w:rsidR="00011EA1" w:rsidRPr="00011EA1" w:rsidRDefault="00011EA1" w:rsidP="00011EA1">
      <w:pPr>
        <w:jc w:val="both"/>
        <w:rPr>
          <w:bCs/>
        </w:rPr>
      </w:pPr>
      <w:r w:rsidRPr="00011EA1">
        <w:rPr>
          <w:bCs/>
        </w:rPr>
        <w:t>(3) Разрешението не може да бъде със срок по-дълъг от 3 години.</w:t>
      </w:r>
    </w:p>
    <w:p w:rsidR="00011EA1" w:rsidRPr="00011EA1" w:rsidRDefault="00011EA1" w:rsidP="00011EA1">
      <w:pPr>
        <w:jc w:val="both"/>
        <w:rPr>
          <w:bCs/>
        </w:rPr>
      </w:pPr>
      <w:r w:rsidRPr="00011EA1">
        <w:rPr>
          <w:bCs/>
        </w:rPr>
        <w:t>(4) Разрешение за поставяне на обекти по чл. 2 ал. 2 т. 6 може да се издаде и за група елементи на градското обзавеждане.</w:t>
      </w:r>
    </w:p>
    <w:p w:rsidR="00011EA1" w:rsidRPr="00011EA1" w:rsidRDefault="00011EA1" w:rsidP="00011EA1">
      <w:pPr>
        <w:jc w:val="both"/>
        <w:rPr>
          <w:bCs/>
        </w:rPr>
      </w:pPr>
      <w:r w:rsidRPr="00011EA1">
        <w:rPr>
          <w:bCs/>
        </w:rPr>
        <w:t>(5) Не се издава разрешение за поставяне на преместваеми обекти на лица:</w:t>
      </w:r>
    </w:p>
    <w:p w:rsidR="00011EA1" w:rsidRPr="00011EA1" w:rsidRDefault="00011EA1" w:rsidP="00011EA1">
      <w:pPr>
        <w:pStyle w:val="a3"/>
        <w:numPr>
          <w:ilvl w:val="0"/>
          <w:numId w:val="14"/>
        </w:numPr>
        <w:jc w:val="both"/>
        <w:rPr>
          <w:bCs/>
        </w:rPr>
      </w:pPr>
      <w:r w:rsidRPr="00011EA1">
        <w:rPr>
          <w:bCs/>
        </w:rPr>
        <w:t>Които не са представили всички изискуеми документи по чл. 5, ал. 1, респективно представените документи не отговарят на изискванията;</w:t>
      </w:r>
    </w:p>
    <w:p w:rsidR="00011EA1" w:rsidRPr="00011EA1" w:rsidRDefault="00011EA1" w:rsidP="00011EA1">
      <w:pPr>
        <w:pStyle w:val="a3"/>
        <w:numPr>
          <w:ilvl w:val="0"/>
          <w:numId w:val="14"/>
        </w:numPr>
        <w:jc w:val="both"/>
        <w:rPr>
          <w:bCs/>
        </w:rPr>
      </w:pPr>
      <w:r w:rsidRPr="00011EA1">
        <w:rPr>
          <w:bCs/>
        </w:rPr>
        <w:t>По отношение на които са налице влезли в сила заповеди за премахване по реда на чл. 57а от ЗУТ в рамките на три календарни години, следващи годината през която заповедта е влязла в сила.</w:t>
      </w:r>
    </w:p>
    <w:p w:rsidR="00494C70" w:rsidRDefault="00494C70" w:rsidP="00494C70">
      <w:pPr>
        <w:jc w:val="both"/>
        <w:rPr>
          <w:b/>
          <w:bCs/>
        </w:rPr>
      </w:pPr>
      <w:r>
        <w:rPr>
          <w:b/>
          <w:bCs/>
        </w:rPr>
        <w:t xml:space="preserve">Предлагана промяна: </w:t>
      </w:r>
    </w:p>
    <w:p w:rsidR="00494C70" w:rsidRPr="00494C70" w:rsidRDefault="00494C70" w:rsidP="00494C70">
      <w:pPr>
        <w:jc w:val="both"/>
        <w:rPr>
          <w:bCs/>
        </w:rPr>
      </w:pPr>
      <w:r w:rsidRPr="00494C70">
        <w:rPr>
          <w:bCs/>
        </w:rPr>
        <w:t xml:space="preserve">Чл. 6. (1) </w:t>
      </w:r>
      <w:r w:rsidRPr="005B5990">
        <w:rPr>
          <w:color w:val="FF0000"/>
        </w:rPr>
        <w:t xml:space="preserve">(Доп., приета с Решение № [.]/[.] на ОС – </w:t>
      </w:r>
      <w:r>
        <w:rPr>
          <w:color w:val="FF0000"/>
        </w:rPr>
        <w:t>Бяла Слатина</w:t>
      </w:r>
      <w:r w:rsidRPr="005B5990">
        <w:rPr>
          <w:color w:val="FF0000"/>
        </w:rPr>
        <w:t xml:space="preserve">, </w:t>
      </w:r>
      <w:proofErr w:type="spellStart"/>
      <w:r w:rsidRPr="005B5990">
        <w:rPr>
          <w:color w:val="FF0000"/>
        </w:rPr>
        <w:t>вл</w:t>
      </w:r>
      <w:proofErr w:type="spellEnd"/>
      <w:r w:rsidRPr="005B5990">
        <w:rPr>
          <w:color w:val="FF0000"/>
        </w:rPr>
        <w:t>. в сила на [.]</w:t>
      </w:r>
      <w:r>
        <w:rPr>
          <w:color w:val="FF0000"/>
        </w:rPr>
        <w:t xml:space="preserve">) </w:t>
      </w:r>
      <w:r w:rsidRPr="00494C70">
        <w:rPr>
          <w:bCs/>
        </w:rPr>
        <w:t>Разрешението за поставяне на преместваеми обекти се издава по образец, одобрен от Кмета на Общината, като в него задължително се посочват:</w:t>
      </w:r>
    </w:p>
    <w:p w:rsidR="00494C70" w:rsidRPr="00494C70" w:rsidRDefault="00494C70" w:rsidP="00494C70">
      <w:pPr>
        <w:pStyle w:val="a3"/>
        <w:numPr>
          <w:ilvl w:val="0"/>
          <w:numId w:val="7"/>
        </w:numPr>
        <w:jc w:val="both"/>
        <w:rPr>
          <w:bCs/>
        </w:rPr>
      </w:pPr>
      <w:r w:rsidRPr="00494C70">
        <w:rPr>
          <w:bCs/>
        </w:rPr>
        <w:t>Трите имена и постоянния адрес на физическите лица, съответно наименованието, единния идентификационен код, адреса на управление, правно-организационната форма и имената на представляващия на юридическите лица;</w:t>
      </w:r>
    </w:p>
    <w:p w:rsidR="00494C70" w:rsidRPr="00494C70" w:rsidRDefault="00494C70" w:rsidP="00494C70">
      <w:pPr>
        <w:pStyle w:val="a3"/>
        <w:numPr>
          <w:ilvl w:val="0"/>
          <w:numId w:val="7"/>
        </w:numPr>
        <w:jc w:val="both"/>
        <w:rPr>
          <w:bCs/>
        </w:rPr>
      </w:pPr>
      <w:r w:rsidRPr="00494C70">
        <w:rPr>
          <w:bCs/>
        </w:rPr>
        <w:t>Имота, в който се постави обекта и собственика на същия;</w:t>
      </w:r>
    </w:p>
    <w:p w:rsidR="00494C70" w:rsidRDefault="00494C70" w:rsidP="00494C70">
      <w:pPr>
        <w:pStyle w:val="a3"/>
        <w:numPr>
          <w:ilvl w:val="0"/>
          <w:numId w:val="7"/>
        </w:numPr>
        <w:jc w:val="both"/>
        <w:rPr>
          <w:bCs/>
        </w:rPr>
      </w:pPr>
      <w:r w:rsidRPr="00494C70">
        <w:rPr>
          <w:bCs/>
        </w:rPr>
        <w:t xml:space="preserve">Площта, която заема </w:t>
      </w:r>
      <w:proofErr w:type="spellStart"/>
      <w:r w:rsidRPr="00494C70">
        <w:rPr>
          <w:bCs/>
        </w:rPr>
        <w:t>преместваемият</w:t>
      </w:r>
      <w:proofErr w:type="spellEnd"/>
      <w:r w:rsidRPr="00494C70">
        <w:rPr>
          <w:bCs/>
        </w:rPr>
        <w:t xml:space="preserve"> обект;</w:t>
      </w:r>
    </w:p>
    <w:p w:rsidR="00494C70" w:rsidRPr="00494C70" w:rsidRDefault="00494C70" w:rsidP="00494C70">
      <w:pPr>
        <w:pStyle w:val="a3"/>
        <w:numPr>
          <w:ilvl w:val="0"/>
          <w:numId w:val="7"/>
        </w:numPr>
        <w:jc w:val="both"/>
        <w:rPr>
          <w:bCs/>
        </w:rPr>
      </w:pPr>
      <w:r w:rsidRPr="00494C70">
        <w:rPr>
          <w:bCs/>
          <w:color w:val="FF0000"/>
        </w:rPr>
        <w:t xml:space="preserve">Необходимостта от изграждане </w:t>
      </w:r>
      <w:r w:rsidR="00D443EC" w:rsidRPr="001A3268">
        <w:rPr>
          <w:color w:val="FF0000"/>
        </w:rPr>
        <w:t xml:space="preserve">на </w:t>
      </w:r>
      <w:r w:rsidR="00D443EC">
        <w:rPr>
          <w:color w:val="FF0000"/>
        </w:rPr>
        <w:t xml:space="preserve">конструктивен елемент по ал. 2, който е неразделна част от </w:t>
      </w:r>
      <w:proofErr w:type="spellStart"/>
      <w:r w:rsidRPr="00494C70">
        <w:rPr>
          <w:bCs/>
          <w:color w:val="FF0000"/>
        </w:rPr>
        <w:t>преместваемия</w:t>
      </w:r>
      <w:proofErr w:type="spellEnd"/>
      <w:r w:rsidRPr="00494C70">
        <w:rPr>
          <w:bCs/>
          <w:color w:val="FF0000"/>
        </w:rPr>
        <w:t xml:space="preserve"> обект и изискванията за него – площ, дебелина, използвани материали</w:t>
      </w:r>
      <w:r w:rsidRPr="00494C70">
        <w:rPr>
          <w:bCs/>
        </w:rPr>
        <w:t xml:space="preserve">;   </w:t>
      </w:r>
    </w:p>
    <w:p w:rsidR="00494C70" w:rsidRPr="00494C70" w:rsidRDefault="004070AE" w:rsidP="00494C70">
      <w:pPr>
        <w:pStyle w:val="a3"/>
        <w:numPr>
          <w:ilvl w:val="0"/>
          <w:numId w:val="7"/>
        </w:numPr>
        <w:jc w:val="both"/>
        <w:rPr>
          <w:bCs/>
        </w:rPr>
      </w:pPr>
      <w:r>
        <w:rPr>
          <w:color w:val="FF0000"/>
        </w:rPr>
        <w:t>(Предишна т. 4</w:t>
      </w:r>
      <w:r w:rsidRPr="00494C70">
        <w:rPr>
          <w:color w:val="FF0000"/>
        </w:rPr>
        <w:t xml:space="preserve">) </w:t>
      </w:r>
      <w:r w:rsidR="00494C70" w:rsidRPr="00494C70">
        <w:rPr>
          <w:bCs/>
        </w:rPr>
        <w:t xml:space="preserve">Дължимата такса, определена съгласно Наредба № 5 на Общинския съвет </w:t>
      </w:r>
      <w:proofErr w:type="spellStart"/>
      <w:r w:rsidR="00494C70" w:rsidRPr="00494C70">
        <w:rPr>
          <w:bCs/>
        </w:rPr>
        <w:t>гр.Бяла</w:t>
      </w:r>
      <w:proofErr w:type="spellEnd"/>
      <w:r w:rsidR="00494C70" w:rsidRPr="00494C70">
        <w:rPr>
          <w:bCs/>
        </w:rPr>
        <w:t xml:space="preserve"> Слатина;</w:t>
      </w:r>
    </w:p>
    <w:p w:rsidR="00494C70" w:rsidRPr="00494C70" w:rsidRDefault="004070AE" w:rsidP="00494C70">
      <w:pPr>
        <w:pStyle w:val="a3"/>
        <w:numPr>
          <w:ilvl w:val="0"/>
          <w:numId w:val="7"/>
        </w:numPr>
        <w:jc w:val="both"/>
        <w:rPr>
          <w:bCs/>
        </w:rPr>
      </w:pPr>
      <w:r>
        <w:rPr>
          <w:color w:val="FF0000"/>
        </w:rPr>
        <w:t>(Предишна т. 5</w:t>
      </w:r>
      <w:r w:rsidRPr="00494C70">
        <w:rPr>
          <w:color w:val="FF0000"/>
        </w:rPr>
        <w:t xml:space="preserve">) </w:t>
      </w:r>
      <w:r w:rsidR="00494C70" w:rsidRPr="00494C70">
        <w:rPr>
          <w:bCs/>
        </w:rPr>
        <w:t>Срокът, за който се разрешава поставянето;</w:t>
      </w:r>
    </w:p>
    <w:p w:rsidR="00494C70" w:rsidRPr="00494C70" w:rsidRDefault="004070AE" w:rsidP="00494C70">
      <w:pPr>
        <w:pStyle w:val="a3"/>
        <w:numPr>
          <w:ilvl w:val="0"/>
          <w:numId w:val="7"/>
        </w:numPr>
        <w:jc w:val="both"/>
        <w:rPr>
          <w:bCs/>
        </w:rPr>
      </w:pPr>
      <w:r w:rsidRPr="00494C70">
        <w:rPr>
          <w:color w:val="FF0000"/>
        </w:rPr>
        <w:t xml:space="preserve">(Предишна т. 6) </w:t>
      </w:r>
      <w:r w:rsidR="00494C70" w:rsidRPr="00494C70">
        <w:rPr>
          <w:bCs/>
        </w:rPr>
        <w:t>Условията за експлоатация, поддръжка и хигиената на прилежащите площи;</w:t>
      </w:r>
    </w:p>
    <w:p w:rsidR="00494C70" w:rsidRPr="00494C70" w:rsidRDefault="004070AE" w:rsidP="00494C70">
      <w:pPr>
        <w:pStyle w:val="a3"/>
        <w:numPr>
          <w:ilvl w:val="0"/>
          <w:numId w:val="7"/>
        </w:numPr>
        <w:jc w:val="both"/>
        <w:rPr>
          <w:bCs/>
        </w:rPr>
      </w:pPr>
      <w:r>
        <w:rPr>
          <w:color w:val="FF0000"/>
        </w:rPr>
        <w:t>(Предишна т. 7</w:t>
      </w:r>
      <w:r w:rsidRPr="00494C70">
        <w:rPr>
          <w:color w:val="FF0000"/>
        </w:rPr>
        <w:t xml:space="preserve">) </w:t>
      </w:r>
      <w:r w:rsidR="00494C70" w:rsidRPr="00494C70">
        <w:rPr>
          <w:bCs/>
        </w:rPr>
        <w:t xml:space="preserve">Указания за типа и външния вид на </w:t>
      </w:r>
      <w:proofErr w:type="spellStart"/>
      <w:r w:rsidR="00494C70" w:rsidRPr="00494C70">
        <w:rPr>
          <w:bCs/>
        </w:rPr>
        <w:t>преместваемия</w:t>
      </w:r>
      <w:proofErr w:type="spellEnd"/>
      <w:r w:rsidR="00494C70" w:rsidRPr="00494C70">
        <w:rPr>
          <w:bCs/>
        </w:rPr>
        <w:t xml:space="preserve"> обект.</w:t>
      </w:r>
    </w:p>
    <w:p w:rsidR="00494C70" w:rsidRDefault="004070AE" w:rsidP="00494C70">
      <w:pPr>
        <w:pStyle w:val="a3"/>
        <w:numPr>
          <w:ilvl w:val="0"/>
          <w:numId w:val="7"/>
        </w:numPr>
        <w:jc w:val="both"/>
        <w:rPr>
          <w:bCs/>
        </w:rPr>
      </w:pPr>
      <w:r>
        <w:rPr>
          <w:color w:val="FF0000"/>
        </w:rPr>
        <w:t>(Предишна т. 8</w:t>
      </w:r>
      <w:r w:rsidRPr="00494C70">
        <w:rPr>
          <w:color w:val="FF0000"/>
        </w:rPr>
        <w:t xml:space="preserve">) </w:t>
      </w:r>
      <w:r w:rsidR="00494C70" w:rsidRPr="00494C70">
        <w:rPr>
          <w:bCs/>
        </w:rPr>
        <w:t>Договор за наем на общински (държавни) имоти когато обекта се поставя в УПИ – общинска или държавна собственост.</w:t>
      </w:r>
    </w:p>
    <w:p w:rsidR="00992866" w:rsidRPr="00992866" w:rsidRDefault="00992866" w:rsidP="00992866">
      <w:pPr>
        <w:jc w:val="both"/>
        <w:rPr>
          <w:color w:val="FF0000"/>
        </w:rPr>
      </w:pPr>
      <w:r w:rsidRPr="00992866">
        <w:rPr>
          <w:color w:val="FF0000"/>
        </w:rPr>
        <w:lastRenderedPageBreak/>
        <w:t xml:space="preserve">(2) (Нова, приета с Решение № [.]/[.] на ОС – </w:t>
      </w:r>
      <w:r>
        <w:rPr>
          <w:color w:val="FF0000"/>
        </w:rPr>
        <w:t>Бяла Слатина</w:t>
      </w:r>
      <w:r w:rsidRPr="00992866">
        <w:rPr>
          <w:color w:val="FF0000"/>
        </w:rPr>
        <w:t xml:space="preserve">, </w:t>
      </w:r>
      <w:proofErr w:type="spellStart"/>
      <w:r w:rsidRPr="00992866">
        <w:rPr>
          <w:color w:val="FF0000"/>
        </w:rPr>
        <w:t>вл</w:t>
      </w:r>
      <w:proofErr w:type="spellEnd"/>
      <w:r w:rsidRPr="00992866">
        <w:rPr>
          <w:color w:val="FF0000"/>
        </w:rPr>
        <w:t xml:space="preserve">. в сила на [.]) В случаите, в които поставянето на </w:t>
      </w:r>
      <w:proofErr w:type="spellStart"/>
      <w:r w:rsidRPr="00992866">
        <w:rPr>
          <w:color w:val="FF0000"/>
        </w:rPr>
        <w:t>преместваем</w:t>
      </w:r>
      <w:proofErr w:type="spellEnd"/>
      <w:r w:rsidRPr="00992866">
        <w:rPr>
          <w:color w:val="FF0000"/>
        </w:rPr>
        <w:t xml:space="preserve"> обект или рекламен елемент изисква </w:t>
      </w:r>
      <w:r w:rsidR="00D443EC" w:rsidRPr="00D82DA0">
        <w:rPr>
          <w:color w:val="FF0000"/>
        </w:rPr>
        <w:t>отнемане на повърхностния слой</w:t>
      </w:r>
      <w:r w:rsidR="00D443EC">
        <w:rPr>
          <w:color w:val="FF0000"/>
        </w:rPr>
        <w:t xml:space="preserve"> и поставяне на сглобяем или монолитен конструктивен елемент, който е неразделна част от </w:t>
      </w:r>
      <w:proofErr w:type="spellStart"/>
      <w:r w:rsidR="00D443EC">
        <w:rPr>
          <w:color w:val="FF0000"/>
        </w:rPr>
        <w:t>преместваемия</w:t>
      </w:r>
      <w:proofErr w:type="spellEnd"/>
      <w:r w:rsidR="00D443EC">
        <w:rPr>
          <w:color w:val="FF0000"/>
        </w:rPr>
        <w:t xml:space="preserve"> обект и</w:t>
      </w:r>
      <w:r w:rsidR="00D443EC" w:rsidRPr="00D82DA0">
        <w:rPr>
          <w:color w:val="FF0000"/>
        </w:rPr>
        <w:t xml:space="preserve"> е предназначен да гарантира конструктивната и пространствена устойчивост на обекта и не може да служи за основа за изграждане на строеж</w:t>
      </w:r>
      <w:r w:rsidR="00D443EC">
        <w:rPr>
          <w:color w:val="FF0000"/>
        </w:rPr>
        <w:t xml:space="preserve">, изграждането на </w:t>
      </w:r>
      <w:r w:rsidRPr="00992866">
        <w:rPr>
          <w:color w:val="FF0000"/>
        </w:rPr>
        <w:t xml:space="preserve"> същия се разрешава с разрешението за поставяне, като неразделна част от обекта.</w:t>
      </w:r>
    </w:p>
    <w:p w:rsidR="00011EA1" w:rsidRPr="00011EA1" w:rsidRDefault="00011EA1" w:rsidP="00011EA1">
      <w:pPr>
        <w:jc w:val="both"/>
        <w:rPr>
          <w:bCs/>
        </w:rPr>
      </w:pPr>
      <w:r w:rsidRPr="00011EA1">
        <w:rPr>
          <w:bCs/>
          <w:color w:val="FF0000"/>
        </w:rPr>
        <w:t>(</w:t>
      </w:r>
      <w:r w:rsidRPr="00011EA1">
        <w:rPr>
          <w:bCs/>
          <w:color w:val="FF0000"/>
          <w:lang w:val="en-GB"/>
        </w:rPr>
        <w:t>3</w:t>
      </w:r>
      <w:r w:rsidRPr="00011EA1">
        <w:rPr>
          <w:bCs/>
          <w:color w:val="FF0000"/>
        </w:rPr>
        <w:t xml:space="preserve">) </w:t>
      </w:r>
      <w:r w:rsidRPr="00011EA1">
        <w:rPr>
          <w:bCs/>
          <w:color w:val="FF0000"/>
          <w:lang w:val="en-GB"/>
        </w:rPr>
        <w:t>(</w:t>
      </w:r>
      <w:r w:rsidRPr="00011EA1">
        <w:rPr>
          <w:bCs/>
          <w:color w:val="FF0000"/>
        </w:rPr>
        <w:t>Предишна ал. 2</w:t>
      </w:r>
      <w:r w:rsidRPr="00011EA1">
        <w:rPr>
          <w:bCs/>
          <w:color w:val="FF0000"/>
          <w:lang w:val="en-GB"/>
        </w:rPr>
        <w:t>)</w:t>
      </w:r>
      <w:r w:rsidRPr="00011EA1">
        <w:rPr>
          <w:bCs/>
          <w:color w:val="FF0000"/>
        </w:rPr>
        <w:t xml:space="preserve"> </w:t>
      </w:r>
      <w:r w:rsidRPr="00011EA1">
        <w:rPr>
          <w:bCs/>
        </w:rPr>
        <w:t xml:space="preserve">Разрешението за поставяне на </w:t>
      </w:r>
      <w:proofErr w:type="spellStart"/>
      <w:r w:rsidRPr="00011EA1">
        <w:rPr>
          <w:bCs/>
        </w:rPr>
        <w:t>преместваем</w:t>
      </w:r>
      <w:proofErr w:type="spellEnd"/>
      <w:r w:rsidRPr="00011EA1">
        <w:rPr>
          <w:bCs/>
        </w:rPr>
        <w:t xml:space="preserve"> обект се издава в 7-дневен срок, считано от датата на заплащане на:</w:t>
      </w:r>
    </w:p>
    <w:p w:rsidR="00011EA1" w:rsidRPr="00011EA1" w:rsidRDefault="00011EA1" w:rsidP="00011EA1">
      <w:pPr>
        <w:pStyle w:val="a3"/>
        <w:numPr>
          <w:ilvl w:val="0"/>
          <w:numId w:val="12"/>
        </w:numPr>
        <w:jc w:val="both"/>
        <w:rPr>
          <w:bCs/>
        </w:rPr>
      </w:pPr>
      <w:r w:rsidRPr="00011EA1">
        <w:rPr>
          <w:bCs/>
        </w:rPr>
        <w:t>Такса за издаване на разрешение;</w:t>
      </w:r>
    </w:p>
    <w:p w:rsidR="00011EA1" w:rsidRPr="00011EA1" w:rsidRDefault="00011EA1" w:rsidP="00011EA1">
      <w:pPr>
        <w:pStyle w:val="a3"/>
        <w:numPr>
          <w:ilvl w:val="0"/>
          <w:numId w:val="12"/>
        </w:numPr>
        <w:jc w:val="both"/>
        <w:rPr>
          <w:bCs/>
        </w:rPr>
      </w:pPr>
      <w:r w:rsidRPr="00011EA1">
        <w:rPr>
          <w:bCs/>
        </w:rPr>
        <w:t>Дължимата такса за първия месец от действието на разрешението за обекти по чл. 2, ал.2, т</w:t>
      </w:r>
      <w:r>
        <w:rPr>
          <w:bCs/>
        </w:rPr>
        <w:t xml:space="preserve">. </w:t>
      </w:r>
      <w:r w:rsidRPr="00011EA1">
        <w:rPr>
          <w:bCs/>
        </w:rPr>
        <w:t>2, 3 и 4;</w:t>
      </w:r>
    </w:p>
    <w:p w:rsidR="00011EA1" w:rsidRPr="00011EA1" w:rsidRDefault="00011EA1" w:rsidP="00011EA1">
      <w:pPr>
        <w:jc w:val="both"/>
        <w:rPr>
          <w:bCs/>
          <w:color w:val="FF0000"/>
        </w:rPr>
      </w:pPr>
      <w:r w:rsidRPr="00011EA1">
        <w:rPr>
          <w:bCs/>
          <w:color w:val="FF0000"/>
        </w:rPr>
        <w:t xml:space="preserve">(4) </w:t>
      </w:r>
      <w:r w:rsidRPr="00011EA1">
        <w:rPr>
          <w:bCs/>
          <w:color w:val="FF0000"/>
          <w:lang w:val="en-GB"/>
        </w:rPr>
        <w:t>(</w:t>
      </w:r>
      <w:r w:rsidRPr="00011EA1">
        <w:rPr>
          <w:bCs/>
          <w:color w:val="FF0000"/>
        </w:rPr>
        <w:t xml:space="preserve">Предишна ал. </w:t>
      </w:r>
      <w:r>
        <w:rPr>
          <w:bCs/>
          <w:color w:val="FF0000"/>
        </w:rPr>
        <w:t>3</w:t>
      </w:r>
      <w:r w:rsidRPr="00011EA1">
        <w:rPr>
          <w:bCs/>
          <w:color w:val="FF0000"/>
          <w:lang w:val="en-GB"/>
        </w:rPr>
        <w:t>)</w:t>
      </w:r>
      <w:r w:rsidRPr="00011EA1">
        <w:rPr>
          <w:bCs/>
          <w:color w:val="FF0000"/>
        </w:rPr>
        <w:t xml:space="preserve"> </w:t>
      </w:r>
      <w:r w:rsidRPr="005B5990">
        <w:rPr>
          <w:color w:val="FF0000"/>
        </w:rPr>
        <w:t xml:space="preserve">(Доп., приета с Решение № [.]/[.] на ОС – </w:t>
      </w:r>
      <w:r>
        <w:rPr>
          <w:color w:val="FF0000"/>
        </w:rPr>
        <w:t>Бяла Слатина</w:t>
      </w:r>
      <w:r w:rsidRPr="005B5990">
        <w:rPr>
          <w:color w:val="FF0000"/>
        </w:rPr>
        <w:t xml:space="preserve">, </w:t>
      </w:r>
      <w:proofErr w:type="spellStart"/>
      <w:r w:rsidRPr="005B5990">
        <w:rPr>
          <w:color w:val="FF0000"/>
        </w:rPr>
        <w:t>вл</w:t>
      </w:r>
      <w:proofErr w:type="spellEnd"/>
      <w:r w:rsidRPr="005B5990">
        <w:rPr>
          <w:color w:val="FF0000"/>
        </w:rPr>
        <w:t>. в сила на [.]</w:t>
      </w:r>
      <w:r>
        <w:rPr>
          <w:color w:val="FF0000"/>
        </w:rPr>
        <w:t xml:space="preserve">) </w:t>
      </w:r>
      <w:r w:rsidRPr="00011EA1">
        <w:rPr>
          <w:bCs/>
        </w:rPr>
        <w:t>Разрешението не може да бъде със срок по-дълъг от 3 год</w:t>
      </w:r>
      <w:r>
        <w:rPr>
          <w:bCs/>
        </w:rPr>
        <w:t xml:space="preserve">ини, </w:t>
      </w:r>
      <w:r w:rsidRPr="00011EA1">
        <w:rPr>
          <w:bCs/>
          <w:color w:val="FF0000"/>
        </w:rPr>
        <w:t>освен в предвидените в тази Наредба случаи</w:t>
      </w:r>
      <w:r>
        <w:rPr>
          <w:bCs/>
          <w:color w:val="FF0000"/>
        </w:rPr>
        <w:t>.</w:t>
      </w:r>
    </w:p>
    <w:p w:rsidR="00011EA1" w:rsidRPr="00011EA1" w:rsidRDefault="00011EA1" w:rsidP="00011EA1">
      <w:pPr>
        <w:jc w:val="both"/>
        <w:rPr>
          <w:bCs/>
        </w:rPr>
      </w:pPr>
      <w:r w:rsidRPr="00011EA1">
        <w:rPr>
          <w:bCs/>
          <w:color w:val="FF0000"/>
        </w:rPr>
        <w:t>(</w:t>
      </w:r>
      <w:r>
        <w:rPr>
          <w:bCs/>
          <w:color w:val="FF0000"/>
        </w:rPr>
        <w:t>5</w:t>
      </w:r>
      <w:r w:rsidRPr="00011EA1">
        <w:rPr>
          <w:bCs/>
          <w:color w:val="FF0000"/>
        </w:rPr>
        <w:t xml:space="preserve">) </w:t>
      </w:r>
      <w:r w:rsidRPr="00011EA1">
        <w:rPr>
          <w:bCs/>
          <w:color w:val="FF0000"/>
          <w:lang w:val="en-GB"/>
        </w:rPr>
        <w:t>(</w:t>
      </w:r>
      <w:r w:rsidRPr="00011EA1">
        <w:rPr>
          <w:bCs/>
          <w:color w:val="FF0000"/>
        </w:rPr>
        <w:t xml:space="preserve">Предишна ал. </w:t>
      </w:r>
      <w:r>
        <w:rPr>
          <w:bCs/>
          <w:color w:val="FF0000"/>
        </w:rPr>
        <w:t>4</w:t>
      </w:r>
      <w:r w:rsidRPr="00011EA1">
        <w:rPr>
          <w:bCs/>
          <w:color w:val="FF0000"/>
          <w:lang w:val="en-GB"/>
        </w:rPr>
        <w:t>)</w:t>
      </w:r>
      <w:r w:rsidRPr="00011EA1">
        <w:rPr>
          <w:bCs/>
          <w:color w:val="FF0000"/>
        </w:rPr>
        <w:t xml:space="preserve"> </w:t>
      </w:r>
      <w:r w:rsidRPr="00011EA1">
        <w:rPr>
          <w:bCs/>
        </w:rPr>
        <w:t>Разрешение за поставяне на обекти по чл. 2 ал. 2 т. 6 може да се издаде и за група елементи на градското обзавеждане.</w:t>
      </w:r>
    </w:p>
    <w:p w:rsidR="00011EA1" w:rsidRPr="00011EA1" w:rsidRDefault="00011EA1" w:rsidP="00011EA1">
      <w:pPr>
        <w:jc w:val="both"/>
        <w:rPr>
          <w:bCs/>
        </w:rPr>
      </w:pPr>
      <w:r w:rsidRPr="00011EA1">
        <w:rPr>
          <w:bCs/>
          <w:color w:val="FF0000"/>
        </w:rPr>
        <w:t xml:space="preserve">(6) </w:t>
      </w:r>
      <w:r w:rsidRPr="00011EA1">
        <w:rPr>
          <w:bCs/>
          <w:color w:val="FF0000"/>
          <w:lang w:val="en-GB"/>
        </w:rPr>
        <w:t>(</w:t>
      </w:r>
      <w:r>
        <w:rPr>
          <w:bCs/>
          <w:color w:val="FF0000"/>
        </w:rPr>
        <w:t>Предишна ал. 5</w:t>
      </w:r>
      <w:r w:rsidRPr="00011EA1">
        <w:rPr>
          <w:bCs/>
          <w:color w:val="FF0000"/>
          <w:lang w:val="en-GB"/>
        </w:rPr>
        <w:t>)</w:t>
      </w:r>
      <w:r w:rsidRPr="00011EA1">
        <w:rPr>
          <w:bCs/>
          <w:color w:val="FF0000"/>
        </w:rPr>
        <w:t xml:space="preserve"> </w:t>
      </w:r>
      <w:r w:rsidRPr="00011EA1">
        <w:rPr>
          <w:bCs/>
        </w:rPr>
        <w:t>Не се издава разрешение за поставяне на преместваеми обекти на лица:</w:t>
      </w:r>
    </w:p>
    <w:p w:rsidR="00011EA1" w:rsidRPr="00011EA1" w:rsidRDefault="00011EA1" w:rsidP="00011EA1">
      <w:pPr>
        <w:pStyle w:val="a3"/>
        <w:numPr>
          <w:ilvl w:val="0"/>
          <w:numId w:val="14"/>
        </w:numPr>
        <w:jc w:val="both"/>
        <w:rPr>
          <w:bCs/>
        </w:rPr>
      </w:pPr>
      <w:r w:rsidRPr="00011EA1">
        <w:rPr>
          <w:bCs/>
        </w:rPr>
        <w:t>Които не са представили всички изискуеми документи по чл. 5, ал. 1, респективно представените документи не отговарят на изискванията;</w:t>
      </w:r>
    </w:p>
    <w:p w:rsidR="00992866" w:rsidRPr="00F1498C" w:rsidRDefault="00011EA1" w:rsidP="00992866">
      <w:pPr>
        <w:pStyle w:val="a3"/>
        <w:numPr>
          <w:ilvl w:val="0"/>
          <w:numId w:val="14"/>
        </w:numPr>
        <w:jc w:val="both"/>
        <w:rPr>
          <w:bCs/>
        </w:rPr>
      </w:pPr>
      <w:r w:rsidRPr="00011EA1">
        <w:rPr>
          <w:bCs/>
        </w:rPr>
        <w:t>По отношение на които са налице влезли в сила заповеди за премахване по реда на чл. 57а от ЗУТ в рамките на три календарни години, следващи годината през която заповедта е влязла в сила.</w:t>
      </w:r>
    </w:p>
    <w:p w:rsidR="00494C70" w:rsidRDefault="00494C70" w:rsidP="00494C70">
      <w:pPr>
        <w:jc w:val="both"/>
      </w:pPr>
    </w:p>
    <w:p w:rsidR="00494C70" w:rsidRDefault="00494C70" w:rsidP="00494C70"/>
    <w:sectPr w:rsidR="00494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F8E"/>
    <w:multiLevelType w:val="hybridMultilevel"/>
    <w:tmpl w:val="0A0CD6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300E"/>
    <w:multiLevelType w:val="hybridMultilevel"/>
    <w:tmpl w:val="759C73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C4A20"/>
    <w:multiLevelType w:val="hybridMultilevel"/>
    <w:tmpl w:val="93F45E14"/>
    <w:lvl w:ilvl="0" w:tplc="DCAA212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850FE5"/>
    <w:multiLevelType w:val="hybridMultilevel"/>
    <w:tmpl w:val="096830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F41D2"/>
    <w:multiLevelType w:val="hybridMultilevel"/>
    <w:tmpl w:val="B8D40E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C178A"/>
    <w:multiLevelType w:val="hybridMultilevel"/>
    <w:tmpl w:val="6FE054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D66D7"/>
    <w:multiLevelType w:val="hybridMultilevel"/>
    <w:tmpl w:val="096830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6542F"/>
    <w:multiLevelType w:val="hybridMultilevel"/>
    <w:tmpl w:val="3A78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342BF"/>
    <w:multiLevelType w:val="hybridMultilevel"/>
    <w:tmpl w:val="3A78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D6A9F"/>
    <w:multiLevelType w:val="hybridMultilevel"/>
    <w:tmpl w:val="446E7E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B2A6C"/>
    <w:multiLevelType w:val="hybridMultilevel"/>
    <w:tmpl w:val="90C098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57EB0"/>
    <w:multiLevelType w:val="hybridMultilevel"/>
    <w:tmpl w:val="97DC50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C5372"/>
    <w:multiLevelType w:val="hybridMultilevel"/>
    <w:tmpl w:val="FEC09D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C1270"/>
    <w:multiLevelType w:val="hybridMultilevel"/>
    <w:tmpl w:val="B218F5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10"/>
  </w:num>
  <w:num w:numId="11">
    <w:abstractNumId w:val="12"/>
  </w:num>
  <w:num w:numId="12">
    <w:abstractNumId w:val="5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44"/>
    <w:rsid w:val="00011EA1"/>
    <w:rsid w:val="00147533"/>
    <w:rsid w:val="001E4FAF"/>
    <w:rsid w:val="00254554"/>
    <w:rsid w:val="0028188F"/>
    <w:rsid w:val="004070AE"/>
    <w:rsid w:val="00494C70"/>
    <w:rsid w:val="004B0997"/>
    <w:rsid w:val="00703842"/>
    <w:rsid w:val="008E2A8E"/>
    <w:rsid w:val="00992866"/>
    <w:rsid w:val="00B141E6"/>
    <w:rsid w:val="00D443EC"/>
    <w:rsid w:val="00E40F44"/>
    <w:rsid w:val="00E64FC7"/>
    <w:rsid w:val="00F1498C"/>
    <w:rsid w:val="00F3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F53DB-C8CC-4DB1-8A81-E168B382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C70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Lozanova</dc:creator>
  <cp:keywords/>
  <dc:description/>
  <cp:lastModifiedBy>Petar Petrov</cp:lastModifiedBy>
  <cp:revision>2</cp:revision>
  <dcterms:created xsi:type="dcterms:W3CDTF">2023-10-27T07:11:00Z</dcterms:created>
  <dcterms:modified xsi:type="dcterms:W3CDTF">2023-10-27T07:11:00Z</dcterms:modified>
</cp:coreProperties>
</file>